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</w:pPr>
      <w:r>
        <w:drawing>
          <wp:inline distT="0" distB="0" distL="0" distR="0">
            <wp:extent cx="895350" cy="3619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bottom w:val="single" w:color="E9070C" w:sz="14" w:space="1"/>
        </w:pBdr>
        <w:spacing w:after="200" w:before="0"/>
      </w:pPr>
    </w:p>
    <w:p>
      <w:pPr>
        <w:spacing w:after="60"/>
      </w:pPr>
      <w:r>
        <w:rPr>
          <w:rFonts w:ascii="맑은 고딕" w:cs="맑은 고딕" w:eastAsia="맑은 고딕" w:hAnsi="맑은 고딕"/>
          <w:b/>
          <w:bCs/>
          <w:color w:val="1A1A1A"/>
          <w:sz w:val="52"/>
          <w:szCs w:val="52"/>
        </w:rPr>
        <w:t xml:space="preserve">이크레더블 SH평가 추이 분석 보고서</w:t>
      </w:r>
    </w:p>
    <w:p>
      <w:pPr>
        <w:spacing w:after="200"/>
      </w:pPr>
      <w:r>
        <w:rPr>
          <w:rFonts w:ascii="맑은 고딕" w:cs="맑은 고딕" w:eastAsia="맑은 고딕" w:hAnsi="맑은 고딕"/>
          <w:b w:val="false"/>
          <w:bCs w:val="false"/>
          <w:color w:val="6B7280"/>
          <w:sz w:val="22"/>
          <w:szCs w:val="22"/>
        </w:rPr>
        <w:t xml:space="preserve">2022 하반기 – 2026 상반기 · 9개 회차 종합</w:t>
      </w:r>
    </w:p>
    <w:p>
      <w:pPr>
        <w:spacing w:after="60" w:before="60" w:line="30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6B7280"/>
          <w:sz w:val="19"/>
          <w:szCs w:val="19"/>
        </w:rPr>
        <w:t xml:space="preserve">작성  </w:t>
      </w:r>
      <w:r>
        <w:rPr>
          <w:rFonts w:ascii="맑은 고딕" w:cs="맑은 고딕" w:eastAsia="맑은 고딕" w:hAnsi="맑은 고딕"/>
          <w:b/>
          <w:bCs/>
          <w:color w:val="1A1A1A"/>
          <w:sz w:val="19"/>
          <w:szCs w:val="19"/>
        </w:rPr>
        <w:t xml:space="preserve">KSmate 안전보건팀</w:t>
      </w:r>
      <w:r>
        <w:rPr>
          <w:rFonts w:ascii="맑은 고딕" w:cs="맑은 고딕" w:eastAsia="맑은 고딕" w:hAnsi="맑은 고딕"/>
          <w:b w:val="false"/>
          <w:bCs w:val="false"/>
          <w:color w:val="6B7280"/>
          <w:sz w:val="19"/>
          <w:szCs w:val="19"/>
        </w:rPr>
        <w:t xml:space="preserve">        기준일  </w:t>
      </w:r>
      <w:r>
        <w:rPr>
          <w:rFonts w:ascii="맑은 고딕" w:cs="맑은 고딕" w:eastAsia="맑은 고딕" w:hAnsi="맑은 고딕"/>
          <w:b/>
          <w:bCs/>
          <w:color w:val="1A1A1A"/>
          <w:sz w:val="19"/>
          <w:szCs w:val="19"/>
        </w:rPr>
        <w:t xml:space="preserve">2026-07-10</w:t>
      </w:r>
      <w:r>
        <w:rPr>
          <w:rFonts w:ascii="맑은 고딕" w:cs="맑은 고딕" w:eastAsia="맑은 고딕" w:hAnsi="맑은 고딕"/>
          <w:b w:val="false"/>
          <w:bCs w:val="false"/>
          <w:color w:val="6B7280"/>
          <w:sz w:val="19"/>
          <w:szCs w:val="19"/>
        </w:rPr>
        <w:t xml:space="preserve">        평가기관  </w:t>
      </w:r>
      <w:r>
        <w:rPr>
          <w:rFonts w:ascii="맑은 고딕" w:cs="맑은 고딕" w:eastAsia="맑은 고딕" w:hAnsi="맑은 고딕"/>
          <w:b/>
          <w:bCs/>
          <w:color w:val="1A1A1A"/>
          <w:sz w:val="19"/>
          <w:szCs w:val="19"/>
        </w:rPr>
        <w:t xml:space="preserve">(주)이크레더블</w:t>
      </w:r>
    </w:p>
    <w:p>
      <w:pPr>
        <w:spacing w:after="240" w:before="60" w:line="30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6B7280"/>
          <w:sz w:val="19"/>
          <w:szCs w:val="19"/>
        </w:rPr>
        <w:t xml:space="preserve">대상  </w:t>
      </w:r>
      <w:r>
        <w:rPr>
          <w:rFonts w:ascii="맑은 고딕" w:cs="맑은 고딕" w:eastAsia="맑은 고딕" w:hAnsi="맑은 고딕"/>
          <w:b/>
          <w:bCs/>
          <w:color w:val="1A1A1A"/>
          <w:sz w:val="19"/>
          <w:szCs w:val="19"/>
        </w:rPr>
        <w:t xml:space="preserve">(주)케이에스메이트 (106-86-56091, 대표이사 박이근)</w:t>
      </w:r>
    </w:p>
    <w:tbl>
      <w:tblPr>
        <w:tblW w:type="dxa" w:w="9900"/>
        <w:tblBorders>
          <w:top w:val="single" w:color="D9D9DC" w:sz="4"/>
          <w:left w:val="single" w:color="D9D9DC" w:sz="4"/>
          <w:bottom w:val="single" w:color="D9D9DC" w:sz="4"/>
          <w:right w:val="single" w:color="D9D9DC" w:sz="4"/>
          <w:insideH w:val="single" w:color="D9D9DC" w:sz="4"/>
          <w:insideV w:val="single" w:color="D9D9DC" w:sz="4"/>
        </w:tblBorders>
      </w:tblPr>
      <w:tblGrid>
        <w:gridCol w:w="1980"/>
        <w:gridCol w:w="1980"/>
        <w:gridCol w:w="1980"/>
        <w:gridCol w:w="1980"/>
        <w:gridCol w:w="1980"/>
      </w:tblGrid>
      <w:tr>
        <w:tc>
          <w:tcPr>
            <w:tcW w:type="dxa" w:w="198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현재 등급</w:t>
            </w:r>
          </w:p>
        </w:tc>
        <w:tc>
          <w:tcPr>
            <w:tcW w:type="dxa" w:w="198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현재 총점</w:t>
            </w:r>
          </w:p>
        </w:tc>
        <w:tc>
          <w:tcPr>
            <w:tcW w:type="dxa" w:w="198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역대 최고점</w:t>
            </w:r>
          </w:p>
        </w:tc>
        <w:tc>
          <w:tcPr>
            <w:tcW w:type="dxa" w:w="198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4년 누적 개선</w:t>
            </w:r>
          </w:p>
        </w:tc>
        <w:tc>
          <w:tcPr>
            <w:tcW w:type="dxa" w:w="198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차기 평가(예상)</w:t>
            </w:r>
          </w:p>
        </w:tc>
      </w:tr>
      <w:tr>
        <w:tc>
          <w:tcPr>
            <w:tcW w:type="dxa" w:w="19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DE0000"/>
                <w:sz w:val="18"/>
                <w:szCs w:val="18"/>
              </w:rPr>
              <w:t xml:space="preserve">SH2</w:t>
            </w:r>
          </w:p>
        </w:tc>
        <w:tc>
          <w:tcPr>
            <w:tcW w:type="dxa" w:w="19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85.5 (▼2.5)</w:t>
            </w:r>
          </w:p>
        </w:tc>
        <w:tc>
          <w:tcPr>
            <w:tcW w:type="dxa" w:w="19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88 (’25하)</w:t>
            </w:r>
          </w:p>
        </w:tc>
        <w:tc>
          <w:tcPr>
            <w:tcW w:type="dxa" w:w="19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DE0000"/>
                <w:sz w:val="18"/>
                <w:szCs w:val="18"/>
              </w:rPr>
              <w:t xml:space="preserve">+25.5</w:t>
            </w:r>
          </w:p>
        </w:tc>
        <w:tc>
          <w:tcPr>
            <w:tcW w:type="dxa" w:w="198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’26.10월 *확인 필요</w:t>
            </w:r>
          </w:p>
        </w:tc>
      </w:tr>
    </w:tbl>
    <w:p>
      <w:pPr>
        <w:pStyle w:val="Heading1"/>
        <w:pBdr>
          <w:bottom w:val="single" w:color="1A1A1A" w:sz="6"/>
        </w:pBdr>
        <w:spacing w:after="160" w:before="360"/>
      </w:pPr>
      <w:r>
        <w:rPr>
          <w:rFonts w:ascii="맑은 고딕" w:cs="맑은 고딕" w:eastAsia="맑은 고딕" w:hAnsi="맑은 고딕"/>
          <w:b/>
          <w:bCs/>
          <w:color w:val="DE0000"/>
          <w:sz w:val="24"/>
          <w:szCs w:val="24"/>
        </w:rPr>
        <w:t xml:space="preserve">01  </w:t>
      </w:r>
      <w:r>
        <w:rPr>
          <w:rFonts w:ascii="맑은 고딕" w:cs="맑은 고딕" w:eastAsia="맑은 고딕" w:hAnsi="맑은 고딕"/>
          <w:b/>
          <w:bCs/>
          <w:color w:val="1A1A1A"/>
          <w:sz w:val="26"/>
          <w:szCs w:val="26"/>
        </w:rPr>
        <w:t xml:space="preserve">핵심 요약</w:t>
      </w:r>
    </w:p>
    <w:p>
      <w:pPr>
        <w:spacing w:after="60" w:before="60" w:line="30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20"/>
          <w:szCs w:val="20"/>
        </w:rPr>
        <w:t xml:space="preserve">4년간(2022.07 → 2026.04) SH4 → SH3 → SH2로 2단계 상승, 총점 60 → 85.5점(+25.5점)의 뚜렷한 우상향 추세를 기록했다. 회차당 평균 상승폭은 +3.2점이다.</w:t>
      </w:r>
    </w:p>
    <w:p>
      <w:pPr>
        <w:spacing w:after="60" w:before="60" w:line="30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20"/>
          <w:szCs w:val="20"/>
        </w:rPr>
        <w:t xml:space="preserve">다만 최신 회차(2026 상반기)에서 </w:t>
      </w:r>
      <w:r>
        <w:rPr>
          <w:rFonts w:ascii="맑은 고딕" w:cs="맑은 고딕" w:eastAsia="맑은 고딕" w:hAnsi="맑은 고딕"/>
          <w:b/>
          <w:bCs/>
          <w:color w:val="DE0000"/>
          <w:sz w:val="20"/>
          <w:szCs w:val="20"/>
        </w:rPr>
        <w:t xml:space="preserve">9개 회차 중 처음으로 총점이 하락(88 → 85.5, -2.5점)</w:t>
      </w:r>
      <w:r>
        <w:rPr>
          <w:rFonts w:ascii="맑은 고딕" w:cs="맑은 고딕" w:eastAsia="맑은 고딕" w:hAnsi="맑은 고딕"/>
          <w:b w:val="false"/>
          <w:bCs w:val="false"/>
          <w:color w:val="1A1A1A"/>
          <w:sz w:val="20"/>
          <w:szCs w:val="20"/>
        </w:rPr>
        <w:t xml:space="preserve">했고 포상 가점이 소멸했다. 상승 국면이 끝나고 정체 진입 신호가 나타난 시점으로, 지금이 SH1 도전이냐 SH2 방어냐를 결정할 분기점이다.</w:t>
      </w:r>
    </w:p>
    <w:p>
      <w:pPr>
        <w:pStyle w:val="Heading1"/>
        <w:pBdr>
          <w:bottom w:val="single" w:color="1A1A1A" w:sz="6"/>
        </w:pBdr>
        <w:spacing w:after="160" w:before="360"/>
      </w:pPr>
      <w:r>
        <w:rPr>
          <w:rFonts w:ascii="맑은 고딕" w:cs="맑은 고딕" w:eastAsia="맑은 고딕" w:hAnsi="맑은 고딕"/>
          <w:b/>
          <w:bCs/>
          <w:color w:val="DE0000"/>
          <w:sz w:val="24"/>
          <w:szCs w:val="24"/>
        </w:rPr>
        <w:t xml:space="preserve">02  </w:t>
      </w:r>
      <w:r>
        <w:rPr>
          <w:rFonts w:ascii="맑은 고딕" w:cs="맑은 고딕" w:eastAsia="맑은 고딕" w:hAnsi="맑은 고딕"/>
          <w:b/>
          <w:bCs/>
          <w:color w:val="1A1A1A"/>
          <w:sz w:val="26"/>
          <w:szCs w:val="26"/>
        </w:rPr>
        <w:t xml:space="preserve">반기별 총점·등급 추이</w:t>
      </w:r>
    </w:p>
    <w:p>
      <w:pPr>
        <w:spacing w:after="60" w:before="120"/>
        <w:jc w:val="center"/>
      </w:pPr>
      <w:r>
        <w:drawing>
          <wp:inline distT="0" distB="0" distL="0" distR="0">
            <wp:extent cx="5905500" cy="27146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 w:before="60" w:line="300"/>
        <w:jc w:val="center"/>
      </w:pPr>
      <w:r>
        <w:rPr>
          <w:rFonts w:ascii="맑은 고딕" w:cs="맑은 고딕" w:eastAsia="맑은 고딕" w:hAnsi="맑은 고딕"/>
          <w:b w:val="false"/>
          <w:bCs w:val="false"/>
          <w:color w:val="6B7280"/>
          <w:sz w:val="16"/>
          <w:szCs w:val="16"/>
        </w:rPr>
        <w:t xml:space="preserve">* ’24재: 2024-05-17 대표이사 변경(곽현구→박이근)에 따른 재평가</w:t>
      </w:r>
    </w:p>
    <w:p>
      <w:pPr>
        <w:pStyle w:val="Heading2"/>
        <w:spacing w:after="100" w:before="240"/>
      </w:pPr>
      <w:r>
        <w:rPr>
          <w:rFonts w:ascii="맑은 고딕" w:cs="맑은 고딕" w:eastAsia="맑은 고딕" w:hAnsi="맑은 고딕"/>
          <w:b/>
          <w:bCs/>
          <w:color w:val="1A1A1A"/>
          <w:sz w:val="22"/>
          <w:szCs w:val="22"/>
        </w:rPr>
        <w:t xml:space="preserve">■ 회차별 평가 결과 총괄</w:t>
      </w:r>
    </w:p>
    <w:tbl>
      <w:tblPr>
        <w:tblW w:type="dxa" w:w="9900"/>
        <w:tblBorders>
          <w:top w:val="single" w:color="D9D9DC" w:sz="4"/>
          <w:left w:val="single" w:color="D9D9DC" w:sz="4"/>
          <w:bottom w:val="single" w:color="D9D9DC" w:sz="4"/>
          <w:right w:val="single" w:color="D9D9DC" w:sz="4"/>
          <w:insideH w:val="single" w:color="D9D9DC" w:sz="4"/>
          <w:insideV w:val="single" w:color="D9D9DC" w:sz="4"/>
        </w:tblBorders>
      </w:tblPr>
      <w:tblGrid>
        <w:gridCol w:w="1350"/>
        <w:gridCol w:w="1150"/>
        <w:gridCol w:w="750"/>
        <w:gridCol w:w="800"/>
        <w:gridCol w:w="1050"/>
        <w:gridCol w:w="1050"/>
        <w:gridCol w:w="900"/>
        <w:gridCol w:w="950"/>
        <w:gridCol w:w="700"/>
        <w:gridCol w:w="1200"/>
      </w:tblGrid>
      <w:tr>
        <w:tc>
          <w:tcPr>
            <w:tcW w:type="dxa" w:w="135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회차</w:t>
            </w:r>
          </w:p>
        </w:tc>
        <w:tc>
          <w:tcPr>
            <w:tcW w:type="dxa" w:w="115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작성일</w:t>
            </w:r>
          </w:p>
        </w:tc>
        <w:tc>
          <w:tcPr>
            <w:tcW w:type="dxa" w:w="75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등급</w:t>
            </w:r>
          </w:p>
        </w:tc>
        <w:tc>
          <w:tcPr>
            <w:tcW w:type="dxa" w:w="8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총점</w:t>
            </w:r>
          </w:p>
        </w:tc>
        <w:tc>
          <w:tcPr>
            <w:tcW w:type="dxa" w:w="105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경영체계</w:t>
            </w:r>
          </w:p>
        </w:tc>
        <w:tc>
          <w:tcPr>
            <w:tcW w:type="dxa" w:w="105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운영관리</w:t>
            </w:r>
          </w:p>
        </w:tc>
        <w:tc>
          <w:tcPr>
            <w:tcW w:type="dxa" w:w="9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투자</w:t>
            </w:r>
          </w:p>
        </w:tc>
        <w:tc>
          <w:tcPr>
            <w:tcW w:type="dxa" w:w="95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성과</w:t>
            </w:r>
          </w:p>
        </w:tc>
        <w:tc>
          <w:tcPr>
            <w:tcW w:type="dxa" w:w="7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가점</w:t>
            </w:r>
          </w:p>
        </w:tc>
        <w:tc>
          <w:tcPr>
            <w:tcW w:type="dxa" w:w="12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발급번호</w:t>
            </w:r>
          </w:p>
        </w:tc>
      </w:tr>
      <w:tr>
        <w:tc>
          <w:tcPr>
            <w:tcW w:type="dxa" w:w="13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2026 상반기</w:t>
            </w:r>
          </w:p>
        </w:tc>
        <w:tc>
          <w:tcPr>
            <w:tcW w:type="dxa" w:w="11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2026-04-29</w:t>
            </w:r>
          </w:p>
        </w:tc>
        <w:tc>
          <w:tcPr>
            <w:tcW w:type="dxa" w:w="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DE0000"/>
                <w:sz w:val="18"/>
                <w:szCs w:val="18"/>
              </w:rPr>
              <w:t xml:space="preserve">SH2</w:t>
            </w:r>
          </w:p>
        </w:tc>
        <w:tc>
          <w:tcPr>
            <w:tcW w:type="dxa" w:w="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85.5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32.5/35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35/40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9/10</w:t>
            </w:r>
          </w:p>
        </w:tc>
        <w:tc>
          <w:tcPr>
            <w:tcW w:type="dxa" w:w="9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9/15</w:t>
            </w:r>
          </w:p>
        </w:tc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0</w:t>
            </w:r>
          </w:p>
        </w:tc>
        <w:tc>
          <w:tcPr>
            <w:tcW w:type="dxa" w:w="1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ESGB20260401806</w:t>
            </w:r>
          </w:p>
        </w:tc>
      </w:tr>
      <w:tr>
        <w:tc>
          <w:tcPr>
            <w:tcW w:type="dxa" w:w="13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2025 하반기</w:t>
            </w:r>
          </w:p>
        </w:tc>
        <w:tc>
          <w:tcPr>
            <w:tcW w:type="dxa" w:w="11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2025-10-27</w:t>
            </w:r>
          </w:p>
        </w:tc>
        <w:tc>
          <w:tcPr>
            <w:tcW w:type="dxa" w:w="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DE0000"/>
                <w:sz w:val="18"/>
                <w:szCs w:val="18"/>
              </w:rPr>
              <w:t xml:space="preserve">SH2</w:t>
            </w:r>
          </w:p>
        </w:tc>
        <w:tc>
          <w:tcPr>
            <w:tcW w:type="dxa" w:w="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88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35/35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35/40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8/10</w:t>
            </w:r>
          </w:p>
        </w:tc>
        <w:tc>
          <w:tcPr>
            <w:tcW w:type="dxa" w:w="9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9/15</w:t>
            </w:r>
          </w:p>
        </w:tc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+1</w:t>
            </w:r>
          </w:p>
        </w:tc>
        <w:tc>
          <w:tcPr>
            <w:tcW w:type="dxa" w:w="1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ESGB20251000678</w:t>
            </w:r>
          </w:p>
        </w:tc>
      </w:tr>
      <w:tr>
        <w:tc>
          <w:tcPr>
            <w:tcW w:type="dxa" w:w="13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2025 상반기</w:t>
            </w:r>
          </w:p>
        </w:tc>
        <w:tc>
          <w:tcPr>
            <w:tcW w:type="dxa" w:w="11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2025-05-16</w:t>
            </w:r>
          </w:p>
        </w:tc>
        <w:tc>
          <w:tcPr>
            <w:tcW w:type="dxa" w:w="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DE0000"/>
                <w:sz w:val="18"/>
                <w:szCs w:val="18"/>
              </w:rPr>
              <w:t xml:space="preserve">SH2</w:t>
            </w:r>
          </w:p>
        </w:tc>
        <w:tc>
          <w:tcPr>
            <w:tcW w:type="dxa" w:w="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86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35/35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35/40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8/10</w:t>
            </w:r>
          </w:p>
        </w:tc>
        <w:tc>
          <w:tcPr>
            <w:tcW w:type="dxa" w:w="9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7/15</w:t>
            </w:r>
          </w:p>
        </w:tc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+1</w:t>
            </w:r>
          </w:p>
        </w:tc>
        <w:tc>
          <w:tcPr>
            <w:tcW w:type="dxa" w:w="1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ESGB20250500583</w:t>
            </w:r>
          </w:p>
        </w:tc>
      </w:tr>
      <w:tr>
        <w:tc>
          <w:tcPr>
            <w:tcW w:type="dxa" w:w="13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2024 하반기</w:t>
            </w:r>
          </w:p>
        </w:tc>
        <w:tc>
          <w:tcPr>
            <w:tcW w:type="dxa" w:w="11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2024-11-08</w:t>
            </w:r>
          </w:p>
        </w:tc>
        <w:tc>
          <w:tcPr>
            <w:tcW w:type="dxa" w:w="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6B7280"/>
                <w:sz w:val="18"/>
                <w:szCs w:val="18"/>
              </w:rPr>
              <w:t xml:space="preserve">SH3</w:t>
            </w:r>
          </w:p>
        </w:tc>
        <w:tc>
          <w:tcPr>
            <w:tcW w:type="dxa" w:w="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72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30/35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35/40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8/10</w:t>
            </w:r>
          </w:p>
        </w:tc>
        <w:tc>
          <w:tcPr>
            <w:tcW w:type="dxa" w:w="9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-3/15</w:t>
            </w:r>
          </w:p>
        </w:tc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+2</w:t>
            </w:r>
          </w:p>
        </w:tc>
        <w:tc>
          <w:tcPr>
            <w:tcW w:type="dxa" w:w="1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ESGB-2024-11-00209</w:t>
            </w:r>
          </w:p>
        </w:tc>
      </w:tr>
      <w:tr>
        <w:tc>
          <w:tcPr>
            <w:tcW w:type="dxa" w:w="13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2024 재평가</w:t>
            </w:r>
          </w:p>
        </w:tc>
        <w:tc>
          <w:tcPr>
            <w:tcW w:type="dxa" w:w="11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2024-05-17</w:t>
            </w:r>
          </w:p>
        </w:tc>
        <w:tc>
          <w:tcPr>
            <w:tcW w:type="dxa" w:w="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6B7280"/>
                <w:sz w:val="18"/>
                <w:szCs w:val="18"/>
              </w:rPr>
              <w:t xml:space="preserve">SH3</w:t>
            </w:r>
          </w:p>
        </w:tc>
        <w:tc>
          <w:tcPr>
            <w:tcW w:type="dxa" w:w="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74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30/35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30/40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8/10</w:t>
            </w:r>
          </w:p>
        </w:tc>
        <w:tc>
          <w:tcPr>
            <w:tcW w:type="dxa" w:w="9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6/15</w:t>
            </w:r>
          </w:p>
        </w:tc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0</w:t>
            </w:r>
          </w:p>
        </w:tc>
        <w:tc>
          <w:tcPr>
            <w:tcW w:type="dxa" w:w="1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ESGB-2024-05-00833</w:t>
            </w:r>
          </w:p>
        </w:tc>
      </w:tr>
      <w:tr>
        <w:tc>
          <w:tcPr>
            <w:tcW w:type="dxa" w:w="13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2024 상반기</w:t>
            </w:r>
          </w:p>
        </w:tc>
        <w:tc>
          <w:tcPr>
            <w:tcW w:type="dxa" w:w="11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2024-03-25</w:t>
            </w:r>
          </w:p>
        </w:tc>
        <w:tc>
          <w:tcPr>
            <w:tcW w:type="dxa" w:w="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6B7280"/>
                <w:sz w:val="18"/>
                <w:szCs w:val="18"/>
              </w:rPr>
              <w:t xml:space="preserve">SH3</w:t>
            </w:r>
          </w:p>
        </w:tc>
        <w:tc>
          <w:tcPr>
            <w:tcW w:type="dxa" w:w="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76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30/35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33/40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7/10</w:t>
            </w:r>
          </w:p>
        </w:tc>
        <w:tc>
          <w:tcPr>
            <w:tcW w:type="dxa" w:w="9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6/15</w:t>
            </w:r>
          </w:p>
        </w:tc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0</w:t>
            </w:r>
          </w:p>
        </w:tc>
        <w:tc>
          <w:tcPr>
            <w:tcW w:type="dxa" w:w="1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ESGB-2024-03-00570</w:t>
            </w:r>
          </w:p>
        </w:tc>
      </w:tr>
      <w:tr>
        <w:tc>
          <w:tcPr>
            <w:tcW w:type="dxa" w:w="13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2023 하반기</w:t>
            </w:r>
          </w:p>
        </w:tc>
        <w:tc>
          <w:tcPr>
            <w:tcW w:type="dxa" w:w="11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2023-09-27</w:t>
            </w:r>
          </w:p>
        </w:tc>
        <w:tc>
          <w:tcPr>
            <w:tcW w:type="dxa" w:w="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6B7280"/>
                <w:sz w:val="18"/>
                <w:szCs w:val="18"/>
              </w:rPr>
              <w:t xml:space="preserve">SH4</w:t>
            </w:r>
          </w:p>
        </w:tc>
        <w:tc>
          <w:tcPr>
            <w:tcW w:type="dxa" w:w="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67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30/35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33/40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7/10</w:t>
            </w:r>
          </w:p>
        </w:tc>
        <w:tc>
          <w:tcPr>
            <w:tcW w:type="dxa" w:w="9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-3/15</w:t>
            </w:r>
          </w:p>
        </w:tc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0</w:t>
            </w:r>
          </w:p>
        </w:tc>
        <w:tc>
          <w:tcPr>
            <w:tcW w:type="dxa" w:w="1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ESGB-2023-09-01062</w:t>
            </w:r>
          </w:p>
        </w:tc>
      </w:tr>
      <w:tr>
        <w:tc>
          <w:tcPr>
            <w:tcW w:type="dxa" w:w="13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2023 상반기</w:t>
            </w:r>
          </w:p>
        </w:tc>
        <w:tc>
          <w:tcPr>
            <w:tcW w:type="dxa" w:w="11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2023-04-06</w:t>
            </w:r>
          </w:p>
        </w:tc>
        <w:tc>
          <w:tcPr>
            <w:tcW w:type="dxa" w:w="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6B7280"/>
                <w:sz w:val="18"/>
                <w:szCs w:val="18"/>
              </w:rPr>
              <w:t xml:space="preserve">SH4</w:t>
            </w:r>
          </w:p>
        </w:tc>
        <w:tc>
          <w:tcPr>
            <w:tcW w:type="dxa" w:w="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58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18/30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37/50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8/10</w:t>
            </w:r>
          </w:p>
        </w:tc>
        <w:tc>
          <w:tcPr>
            <w:tcW w:type="dxa" w:w="9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-5/10</w:t>
            </w:r>
          </w:p>
        </w:tc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ESGB-2023-04-00071</w:t>
            </w:r>
          </w:p>
        </w:tc>
      </w:tr>
      <w:tr>
        <w:tc>
          <w:tcPr>
            <w:tcW w:type="dxa" w:w="13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2022 하반기</w:t>
            </w:r>
          </w:p>
        </w:tc>
        <w:tc>
          <w:tcPr>
            <w:tcW w:type="dxa" w:w="11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2022-07-15</w:t>
            </w:r>
          </w:p>
        </w:tc>
        <w:tc>
          <w:tcPr>
            <w:tcW w:type="dxa" w:w="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6B7280"/>
                <w:sz w:val="18"/>
                <w:szCs w:val="18"/>
              </w:rPr>
              <w:t xml:space="preserve">SH4</w:t>
            </w:r>
          </w:p>
        </w:tc>
        <w:tc>
          <w:tcPr>
            <w:tcW w:type="dxa" w:w="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60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25/30</w:t>
            </w:r>
          </w:p>
        </w:tc>
        <w:tc>
          <w:tcPr>
            <w:tcW w:type="dxa" w:w="10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40/50</w:t>
            </w:r>
          </w:p>
        </w:tc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0/10</w:t>
            </w:r>
          </w:p>
        </w:tc>
        <w:tc>
          <w:tcPr>
            <w:tcW w:type="dxa" w:w="9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-5/10</w:t>
            </w:r>
          </w:p>
        </w:tc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—</w:t>
            </w:r>
          </w:p>
        </w:tc>
        <w:tc>
          <w:tcPr>
            <w:tcW w:type="dxa" w:w="1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ESGB-2022-07-00427</w:t>
            </w:r>
          </w:p>
        </w:tc>
      </w:tr>
    </w:tbl>
    <w:p>
      <w:pPr>
        <w:spacing w:after="60" w:before="100" w:line="30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6B7280"/>
          <w:sz w:val="17"/>
          <w:szCs w:val="17"/>
        </w:rPr>
        <w:t xml:space="preserve">※ 2023 하반기부터 배점 체계 개편(경영 30→35, 운영 50→40, 성과 10→15, 가점 신설), 2026 상반기부터 소수점 배점 도입 — 절대점수의 회차 간 직접 비교에는 주의가 필요하다.</w:t>
      </w:r>
    </w:p>
    <w:p>
      <w:r>
        <w:br w:type="page"/>
      </w:r>
    </w:p>
    <w:p>
      <w:pPr>
        <w:pStyle w:val="Heading1"/>
        <w:pBdr>
          <w:bottom w:val="single" w:color="1A1A1A" w:sz="6"/>
        </w:pBdr>
        <w:spacing w:after="160" w:before="360"/>
      </w:pPr>
      <w:r>
        <w:rPr>
          <w:rFonts w:ascii="맑은 고딕" w:cs="맑은 고딕" w:eastAsia="맑은 고딕" w:hAnsi="맑은 고딕"/>
          <w:b/>
          <w:bCs/>
          <w:color w:val="DE0000"/>
          <w:sz w:val="24"/>
          <w:szCs w:val="24"/>
        </w:rPr>
        <w:t xml:space="preserve">03  </w:t>
      </w:r>
      <w:r>
        <w:rPr>
          <w:rFonts w:ascii="맑은 고딕" w:cs="맑은 고딕" w:eastAsia="맑은 고딕" w:hAnsi="맑은 고딕"/>
          <w:b/>
          <w:bCs/>
          <w:color w:val="1A1A1A"/>
          <w:sz w:val="26"/>
          <w:szCs w:val="26"/>
        </w:rPr>
        <w:t xml:space="preserve">국면(Phase) 분석</w:t>
      </w:r>
    </w:p>
    <w:tbl>
      <w:tblPr>
        <w:tblW w:type="dxa" w:w="9900"/>
        <w:tblBorders>
          <w:top w:val="single" w:color="D9D9DC" w:sz="4"/>
          <w:left w:val="single" w:color="D9D9DC" w:sz="4"/>
          <w:bottom w:val="single" w:color="D9D9DC" w:sz="4"/>
          <w:right w:val="single" w:color="D9D9DC" w:sz="4"/>
          <w:insideH w:val="single" w:color="D9D9DC" w:sz="4"/>
          <w:insideV w:val="single" w:color="D9D9DC" w:sz="4"/>
        </w:tblBorders>
      </w:tblPr>
      <w:tblGrid>
        <w:gridCol w:w="1500"/>
        <w:gridCol w:w="1750"/>
        <w:gridCol w:w="1700"/>
        <w:gridCol w:w="4950"/>
      </w:tblGrid>
      <w:tr>
        <w:tc>
          <w:tcPr>
            <w:tcW w:type="dxa" w:w="15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국면</w:t>
            </w:r>
          </w:p>
        </w:tc>
        <w:tc>
          <w:tcPr>
            <w:tcW w:type="dxa" w:w="175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기간</w:t>
            </w:r>
          </w:p>
        </w:tc>
        <w:tc>
          <w:tcPr>
            <w:tcW w:type="dxa" w:w="17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점수 변화</w:t>
            </w:r>
          </w:p>
        </w:tc>
        <w:tc>
          <w:tcPr>
            <w:tcW w:type="dxa" w:w="495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핵심 동인 (근거)</w:t>
            </w:r>
          </w:p>
        </w:tc>
      </w:tr>
      <w:tr>
        <w:tc>
          <w:tcPr>
            <w:tcW w:type="dxa" w:w="15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① 정체기</w:t>
            </w:r>
          </w:p>
        </w:tc>
        <w:tc>
          <w:tcPr>
            <w:tcW w:type="dxa" w:w="1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’22하 ~ ’23상</w:t>
            </w:r>
          </w:p>
        </w:tc>
        <w:tc>
          <w:tcPr>
            <w:tcW w:type="dxa" w:w="1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60 → 58 (-2)</w:t>
            </w:r>
          </w:p>
        </w:tc>
        <w:tc>
          <w:tcPr>
            <w:tcW w:type="dxa" w:w="49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ISO45001 취득(’23-03-28)·예산 4.3억 수립으로 투자 0→8점이 됐으나, 성과평가 미실시 전환으로 경영체계 25→18로 상쇄</w:t>
            </w:r>
          </w:p>
        </w:tc>
      </w:tr>
      <w:tr>
        <w:tc>
          <w:tcPr>
            <w:tcW w:type="dxa" w:w="15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② 도약기</w:t>
            </w:r>
          </w:p>
        </w:tc>
        <w:tc>
          <w:tcPr>
            <w:tcW w:type="dxa" w:w="1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’23하 ~ ’24상</w:t>
            </w:r>
          </w:p>
        </w:tc>
        <w:tc>
          <w:tcPr>
            <w:tcW w:type="dxa" w:w="1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67 → 76, SH3 진입</w:t>
            </w:r>
          </w:p>
        </w:tc>
        <w:tc>
          <w:tcPr>
            <w:tcW w:type="dxa" w:w="49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성과 -5 → +6 (+11점). 산재 집계기간 갱신으로 감점 해소된 것이 최대 요인</w:t>
            </w:r>
          </w:p>
        </w:tc>
      </w:tr>
      <w:tr>
        <w:tc>
          <w:tcPr>
            <w:tcW w:type="dxa" w:w="15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③ 안착기</w:t>
            </w:r>
          </w:p>
        </w:tc>
        <w:tc>
          <w:tcPr>
            <w:tcW w:type="dxa" w:w="1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’24하 ~ ’25하</w:t>
            </w:r>
          </w:p>
        </w:tc>
        <w:tc>
          <w:tcPr>
            <w:tcW w:type="dxa" w:w="1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72 → 88, SH2 진입</w:t>
            </w:r>
          </w:p>
        </w:tc>
        <w:tc>
          <w:tcPr>
            <w:tcW w:type="dxa" w:w="49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대표이사 안전보건교육 이수 완료(운영 30→35), 경영체계 만점(35/35) 달성, 위험성평가 우수사례 장려상(’24-10-07) 가점</w:t>
            </w:r>
          </w:p>
        </w:tc>
      </w:tr>
      <w:tr>
        <w:tc>
          <w:tcPr>
            <w:tcW w:type="dxa" w:w="1500"/>
            <w:shd w:fill="FCE4E5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④ 정체 신호</w:t>
            </w:r>
          </w:p>
        </w:tc>
        <w:tc>
          <w:tcPr>
            <w:tcW w:type="dxa" w:w="1750"/>
            <w:shd w:fill="FCE4E5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’26상</w:t>
            </w:r>
          </w:p>
        </w:tc>
        <w:tc>
          <w:tcPr>
            <w:tcW w:type="dxa" w:w="1700"/>
            <w:shd w:fill="FCE4E5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DE0000"/>
                <w:sz w:val="18"/>
                <w:szCs w:val="18"/>
              </w:rPr>
              <w:t xml:space="preserve">88 → 85.5 (-2.5)</w:t>
            </w:r>
          </w:p>
        </w:tc>
        <w:tc>
          <w:tcPr>
            <w:tcW w:type="dxa" w:w="4950"/>
            <w:shd w:fill="FCE4E5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경영체계 35→32.5, 가점 +1→0 소멸 — 9개 회차 중 첫 하락</w:t>
            </w:r>
          </w:p>
        </w:tc>
      </w:tr>
    </w:tbl>
    <w:p>
      <w:pPr>
        <w:pStyle w:val="Heading1"/>
        <w:pBdr>
          <w:bottom w:val="single" w:color="1A1A1A" w:sz="6"/>
        </w:pBdr>
        <w:spacing w:after="160" w:before="360"/>
      </w:pPr>
      <w:r>
        <w:rPr>
          <w:rFonts w:ascii="맑은 고딕" w:cs="맑은 고딕" w:eastAsia="맑은 고딕" w:hAnsi="맑은 고딕"/>
          <w:b/>
          <w:bCs/>
          <w:color w:val="DE0000"/>
          <w:sz w:val="24"/>
          <w:szCs w:val="24"/>
        </w:rPr>
        <w:t xml:space="preserve">04  </w:t>
      </w:r>
      <w:r>
        <w:rPr>
          <w:rFonts w:ascii="맑은 고딕" w:cs="맑은 고딕" w:eastAsia="맑은 고딕" w:hAnsi="맑은 고딕"/>
          <w:b/>
          <w:bCs/>
          <w:color w:val="1A1A1A"/>
          <w:sz w:val="26"/>
          <w:szCs w:val="26"/>
        </w:rPr>
        <w:t xml:space="preserve">항목별 취득률 분석 (배점 정규화)</w:t>
      </w:r>
    </w:p>
    <w:p>
      <w:pPr>
        <w:spacing w:after="60" w:before="60" w:line="30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배점 체계가 두 차례 변경되어 절대점수 비교는 왜곡이 있으므로, 취득률(득점÷배점)로 정규화하여 비교한다.</w:t>
      </w:r>
    </w:p>
    <w:tbl>
      <w:tblPr>
        <w:tblW w:type="dxa" w:w="9900"/>
        <w:tblBorders>
          <w:top w:val="single" w:color="D9D9DC" w:sz="4"/>
          <w:left w:val="single" w:color="D9D9DC" w:sz="4"/>
          <w:bottom w:val="single" w:color="D9D9DC" w:sz="4"/>
          <w:right w:val="single" w:color="D9D9DC" w:sz="4"/>
          <w:insideH w:val="single" w:color="D9D9DC" w:sz="4"/>
          <w:insideV w:val="single" w:color="D9D9DC" w:sz="4"/>
        </w:tblBorders>
      </w:tblPr>
      <w:tblGrid>
        <w:gridCol w:w="1900"/>
        <w:gridCol w:w="1450"/>
        <w:gridCol w:w="1450"/>
        <w:gridCol w:w="1500"/>
        <w:gridCol w:w="3600"/>
      </w:tblGrid>
      <w:tr>
        <w:tc>
          <w:tcPr>
            <w:tcW w:type="dxa" w:w="19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항목</w:t>
            </w:r>
          </w:p>
        </w:tc>
        <w:tc>
          <w:tcPr>
            <w:tcW w:type="dxa" w:w="145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’22하</w:t>
            </w:r>
          </w:p>
        </w:tc>
        <w:tc>
          <w:tcPr>
            <w:tcW w:type="dxa" w:w="145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’26상</w:t>
            </w:r>
          </w:p>
        </w:tc>
        <w:tc>
          <w:tcPr>
            <w:tcW w:type="dxa" w:w="15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변화</w:t>
            </w:r>
          </w:p>
        </w:tc>
        <w:tc>
          <w:tcPr>
            <w:tcW w:type="dxa" w:w="36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해석</w:t>
            </w:r>
          </w:p>
        </w:tc>
      </w:tr>
      <w:tr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경영체계</w:t>
            </w:r>
          </w:p>
        </w:tc>
        <w:tc>
          <w:tcPr>
            <w:tcW w:type="dxa" w:w="14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83%</w:t>
            </w:r>
          </w:p>
        </w:tc>
        <w:tc>
          <w:tcPr>
            <w:tcW w:type="dxa" w:w="14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93%</w:t>
            </w:r>
          </w:p>
        </w:tc>
        <w:tc>
          <w:tcPr>
            <w:tcW w:type="dxa" w:w="15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+10%p</w:t>
            </w:r>
          </w:p>
        </w:tc>
        <w:tc>
          <w:tcPr>
            <w:tcW w:type="dxa" w:w="3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만점(’25) 후 소폭 후퇴</w:t>
            </w:r>
          </w:p>
        </w:tc>
      </w:tr>
      <w:tr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운영관리</w:t>
            </w:r>
          </w:p>
        </w:tc>
        <w:tc>
          <w:tcPr>
            <w:tcW w:type="dxa" w:w="14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80%</w:t>
            </w:r>
          </w:p>
        </w:tc>
        <w:tc>
          <w:tcPr>
            <w:tcW w:type="dxa" w:w="14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88%</w:t>
            </w:r>
          </w:p>
        </w:tc>
        <w:tc>
          <w:tcPr>
            <w:tcW w:type="dxa" w:w="15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+8%p</w:t>
            </w:r>
          </w:p>
        </w:tc>
        <w:tc>
          <w:tcPr>
            <w:tcW w:type="dxa" w:w="3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본사 안전보건교육 실적이 유일한 "보통" 항목 (5점 미취득 지속)</w:t>
            </w:r>
          </w:p>
        </w:tc>
      </w:tr>
      <w:tr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투자</w:t>
            </w:r>
          </w:p>
        </w:tc>
        <w:tc>
          <w:tcPr>
            <w:tcW w:type="dxa" w:w="14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0%</w:t>
            </w:r>
          </w:p>
        </w:tc>
        <w:tc>
          <w:tcPr>
            <w:tcW w:type="dxa" w:w="14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90%</w:t>
            </w:r>
          </w:p>
        </w:tc>
        <w:tc>
          <w:tcPr>
            <w:tcW w:type="dxa" w:w="15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DE0000"/>
                <w:sz w:val="18"/>
                <w:szCs w:val="18"/>
              </w:rPr>
              <w:t xml:space="preserve">+90%p</w:t>
            </w:r>
          </w:p>
        </w:tc>
        <w:tc>
          <w:tcPr>
            <w:tcW w:type="dxa" w:w="3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최대 개선 항목. ISO45001(’23)·KOSHA-MS(’24) 인증, ISO 갱신 유효기간 2029년 연장 반영</w:t>
            </w:r>
          </w:p>
        </w:tc>
      </w:tr>
      <w:tr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성과</w:t>
            </w:r>
          </w:p>
        </w:tc>
        <w:tc>
          <w:tcPr>
            <w:tcW w:type="dxa" w:w="14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-50%</w:t>
            </w:r>
          </w:p>
        </w:tc>
        <w:tc>
          <w:tcPr>
            <w:tcW w:type="dxa" w:w="14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60%</w:t>
            </w:r>
          </w:p>
        </w:tc>
        <w:tc>
          <w:tcPr>
            <w:tcW w:type="dxa" w:w="15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DE0000"/>
                <w:sz w:val="18"/>
                <w:szCs w:val="18"/>
              </w:rPr>
              <w:t xml:space="preserve">+110%p</w:t>
            </w:r>
          </w:p>
        </w:tc>
        <w:tc>
          <w:tcPr>
            <w:tcW w:type="dxa" w:w="3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개선됐으나 여전히 4개 항목 중 최저 — 산재 건수가 구조적 감점 요인</w:t>
            </w:r>
          </w:p>
        </w:tc>
      </w:tr>
    </w:tbl>
    <w:p>
      <w:pPr>
        <w:spacing w:after="60" w:before="100" w:line="30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결론: 다음 개선 여력은 </w:t>
      </w:r>
      <w:r>
        <w:rPr>
          <w:rFonts w:ascii="맑은 고딕" w:cs="맑은 고딕" w:eastAsia="맑은 고딕" w:hAnsi="맑은 고딕"/>
          <w:b/>
          <w:bCs/>
          <w:color w:val="1A1A1A"/>
          <w:sz w:val="19"/>
          <w:szCs w:val="19"/>
        </w:rPr>
        <w:t xml:space="preserve">① 성과(최대 +6점) ② 운영관리 본사교육(최대 +5점) ③ 포상 재획득(가점 +1~2점)</w:t>
      </w: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 순이다.</w:t>
      </w:r>
    </w:p>
    <w:p>
      <w:pPr>
        <w:pStyle w:val="Heading1"/>
        <w:pBdr>
          <w:bottom w:val="single" w:color="1A1A1A" w:sz="6"/>
        </w:pBdr>
        <w:spacing w:after="160" w:before="360"/>
      </w:pPr>
      <w:r>
        <w:rPr>
          <w:rFonts w:ascii="맑은 고딕" w:cs="맑은 고딕" w:eastAsia="맑은 고딕" w:hAnsi="맑은 고딕"/>
          <w:b/>
          <w:bCs/>
          <w:color w:val="DE0000"/>
          <w:sz w:val="24"/>
          <w:szCs w:val="24"/>
        </w:rPr>
        <w:t xml:space="preserve">05  </w:t>
      </w:r>
      <w:r>
        <w:rPr>
          <w:rFonts w:ascii="맑은 고딕" w:cs="맑은 고딕" w:eastAsia="맑은 고딕" w:hAnsi="맑은 고딕"/>
          <w:b/>
          <w:bCs/>
          <w:color w:val="1A1A1A"/>
          <w:sz w:val="26"/>
          <w:szCs w:val="26"/>
        </w:rPr>
        <w:t xml:space="preserve">산업재해율 분석 — "업계 대비 우수, 절대건수는 감점"의 역설</w:t>
      </w:r>
    </w:p>
    <w:tbl>
      <w:tblPr>
        <w:tblW w:type="dxa" w:w="7600"/>
        <w:tblBorders>
          <w:top w:val="single" w:color="D9D9DC" w:sz="4"/>
          <w:left w:val="single" w:color="D9D9DC" w:sz="4"/>
          <w:bottom w:val="single" w:color="D9D9DC" w:sz="4"/>
          <w:right w:val="single" w:color="D9D9DC" w:sz="4"/>
          <w:insideH w:val="single" w:color="D9D9DC" w:sz="4"/>
          <w:insideV w:val="single" w:color="D9D9DC" w:sz="4"/>
        </w:tblBorders>
      </w:tblPr>
      <w:tblGrid>
        <w:gridCol w:w="1750"/>
        <w:gridCol w:w="1750"/>
        <w:gridCol w:w="1900"/>
        <w:gridCol w:w="2200"/>
      </w:tblGrid>
      <w:tr>
        <w:tc>
          <w:tcPr>
            <w:tcW w:type="dxa" w:w="175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기간</w:t>
            </w:r>
          </w:p>
        </w:tc>
        <w:tc>
          <w:tcPr>
            <w:tcW w:type="dxa" w:w="175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당사</w:t>
            </w:r>
          </w:p>
        </w:tc>
        <w:tc>
          <w:tcPr>
            <w:tcW w:type="dxa" w:w="19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업계평균</w:t>
            </w:r>
          </w:p>
        </w:tc>
        <w:tc>
          <w:tcPr>
            <w:tcW w:type="dxa" w:w="22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업계 대비</w:t>
            </w:r>
          </w:p>
        </w:tc>
      </w:tr>
      <w:tr>
        <w:tc>
          <w:tcPr>
            <w:tcW w:type="dxa" w:w="1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2021</w:t>
            </w:r>
          </w:p>
        </w:tc>
        <w:tc>
          <w:tcPr>
            <w:tcW w:type="dxa" w:w="1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0.06%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0.42%</w:t>
            </w:r>
          </w:p>
        </w:tc>
        <w:tc>
          <w:tcPr>
            <w:tcW w:type="dxa" w:w="2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14% 수준</w:t>
            </w:r>
          </w:p>
        </w:tc>
      </w:tr>
      <w:tr>
        <w:tc>
          <w:tcPr>
            <w:tcW w:type="dxa" w:w="1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2022</w:t>
            </w:r>
          </w:p>
        </w:tc>
        <w:tc>
          <w:tcPr>
            <w:tcW w:type="dxa" w:w="1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0.14%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0.41%</w:t>
            </w:r>
          </w:p>
        </w:tc>
        <w:tc>
          <w:tcPr>
            <w:tcW w:type="dxa" w:w="2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34%</w:t>
            </w:r>
          </w:p>
        </w:tc>
      </w:tr>
      <w:tr>
        <w:tc>
          <w:tcPr>
            <w:tcW w:type="dxa" w:w="1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2023</w:t>
            </w:r>
          </w:p>
        </w:tc>
        <w:tc>
          <w:tcPr>
            <w:tcW w:type="dxa" w:w="1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0.06%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0.44%</w:t>
            </w:r>
          </w:p>
        </w:tc>
        <w:tc>
          <w:tcPr>
            <w:tcW w:type="dxa" w:w="2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14%</w:t>
            </w:r>
          </w:p>
        </w:tc>
      </w:tr>
      <w:tr>
        <w:tc>
          <w:tcPr>
            <w:tcW w:type="dxa" w:w="1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2024</w:t>
            </w:r>
          </w:p>
        </w:tc>
        <w:tc>
          <w:tcPr>
            <w:tcW w:type="dxa" w:w="1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0.17%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0.42%</w:t>
            </w:r>
          </w:p>
        </w:tc>
        <w:tc>
          <w:tcPr>
            <w:tcW w:type="dxa" w:w="2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40%</w:t>
            </w:r>
          </w:p>
        </w:tc>
      </w:tr>
      <w:tr>
        <w:tc>
          <w:tcPr>
            <w:tcW w:type="dxa" w:w="1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2025</w:t>
            </w:r>
          </w:p>
        </w:tc>
        <w:tc>
          <w:tcPr>
            <w:tcW w:type="dxa" w:w="175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0.06%</w:t>
            </w:r>
          </w:p>
        </w:tc>
        <w:tc>
          <w:tcPr>
            <w:tcW w:type="dxa" w:w="1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0.42%</w:t>
            </w:r>
          </w:p>
        </w:tc>
        <w:tc>
          <w:tcPr>
            <w:tcW w:type="dxa" w:w="2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14%</w:t>
            </w:r>
          </w:p>
        </w:tc>
      </w:tr>
    </w:tbl>
    <w:p>
      <w:pPr>
        <w:spacing w:after="60" w:before="100" w:line="30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당사 재해율은 전 기간 업계평균의 14~40% 수준으로 일관되게 우수하다. 그러나 SH 모형은 재해율이 아닌 최근 1년 산재 건수로 감점하므로, 종업원이 1,479명(’22) → 2,126명(’26)으로 44% 늘어난 당사는 규모가 커질수록 구조적으로 불리하다. 이는 평가기관에 소명할 논리이자, 내부적으로는 건수 자체를 줄여야 점수가 오른다는 사실을 의미한다.</w:t>
      </w:r>
    </w:p>
    <w:p>
      <w:r>
        <w:br w:type="page"/>
      </w:r>
    </w:p>
    <w:p>
      <w:pPr>
        <w:pStyle w:val="Heading1"/>
        <w:pBdr>
          <w:bottom w:val="single" w:color="1A1A1A" w:sz="6"/>
        </w:pBdr>
        <w:spacing w:after="160" w:before="360"/>
      </w:pPr>
      <w:r>
        <w:rPr>
          <w:rFonts w:ascii="맑은 고딕" w:cs="맑은 고딕" w:eastAsia="맑은 고딕" w:hAnsi="맑은 고딕"/>
          <w:b/>
          <w:bCs/>
          <w:color w:val="DE0000"/>
          <w:sz w:val="24"/>
          <w:szCs w:val="24"/>
        </w:rPr>
        <w:t xml:space="preserve">06  </w:t>
      </w:r>
      <w:r>
        <w:rPr>
          <w:rFonts w:ascii="맑은 고딕" w:cs="맑은 고딕" w:eastAsia="맑은 고딕" w:hAnsi="맑은 고딕"/>
          <w:b/>
          <w:bCs/>
          <w:color w:val="1A1A1A"/>
          <w:sz w:val="26"/>
          <w:szCs w:val="26"/>
        </w:rPr>
        <w:t xml:space="preserve">2026 상반기 하락 원인 분해 (-2.5점)</w:t>
      </w:r>
    </w:p>
    <w:tbl>
      <w:tblPr>
        <w:tblW w:type="dxa" w:w="9600"/>
        <w:tblBorders>
          <w:top w:val="single" w:color="D9D9DC" w:sz="4"/>
          <w:left w:val="single" w:color="D9D9DC" w:sz="4"/>
          <w:bottom w:val="single" w:color="D9D9DC" w:sz="4"/>
          <w:right w:val="single" w:color="D9D9DC" w:sz="4"/>
          <w:insideH w:val="single" w:color="D9D9DC" w:sz="4"/>
          <w:insideV w:val="single" w:color="D9D9DC" w:sz="4"/>
        </w:tblBorders>
      </w:tblPr>
      <w:tblGrid>
        <w:gridCol w:w="3300"/>
        <w:gridCol w:w="1500"/>
        <w:gridCol w:w="4800"/>
      </w:tblGrid>
      <w:tr>
        <w:tc>
          <w:tcPr>
            <w:tcW w:type="dxa" w:w="33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요인</w:t>
            </w:r>
          </w:p>
        </w:tc>
        <w:tc>
          <w:tcPr>
            <w:tcW w:type="dxa" w:w="15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점수 영향</w:t>
            </w:r>
          </w:p>
        </w:tc>
        <w:tc>
          <w:tcPr>
            <w:tcW w:type="dxa" w:w="48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근거</w:t>
            </w:r>
          </w:p>
        </w:tc>
      </w:tr>
      <w:tr>
        <w:tc>
          <w:tcPr>
            <w:tcW w:type="dxa" w:w="33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경영체계 35 → 32.5</w:t>
            </w:r>
          </w:p>
        </w:tc>
        <w:tc>
          <w:tcPr>
            <w:tcW w:type="dxa" w:w="15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DE0000"/>
                <w:sz w:val="18"/>
                <w:szCs w:val="18"/>
              </w:rPr>
              <w:t xml:space="preserve">-2.5</w:t>
            </w:r>
          </w:p>
        </w:tc>
        <w:tc>
          <w:tcPr>
            <w:tcW w:type="dxa" w:w="4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세부항목은 전부 "양호" 표기인데 감점 → 소수점 배점 도입에 따른 평가기준 세분화로 추정. 정확한 감점 사유는 이크레더블 확인 필요</w:t>
            </w:r>
          </w:p>
        </w:tc>
      </w:tr>
      <w:tr>
        <w:tc>
          <w:tcPr>
            <w:tcW w:type="dxa" w:w="33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가점 소멸 (+1 → 0)</w:t>
            </w:r>
          </w:p>
        </w:tc>
        <w:tc>
          <w:tcPr>
            <w:tcW w:type="dxa" w:w="15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DE0000"/>
                <w:sz w:val="18"/>
                <w:szCs w:val="18"/>
              </w:rPr>
              <w:t xml:space="preserve">-1.0</w:t>
            </w:r>
          </w:p>
        </w:tc>
        <w:tc>
          <w:tcPr>
            <w:tcW w:type="dxa" w:w="4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포상 인정기간이 "2025년~현재"로 이동하면서 ’24-10-07 장려상이 기간 밖으로 소멸</w:t>
            </w:r>
          </w:p>
        </w:tc>
      </w:tr>
      <w:tr>
        <w:tc>
          <w:tcPr>
            <w:tcW w:type="dxa" w:w="33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투자 8 → 9</w:t>
            </w:r>
          </w:p>
        </w:tc>
        <w:tc>
          <w:tcPr>
            <w:tcW w:type="dxa" w:w="15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+1.0</w:t>
            </w:r>
          </w:p>
        </w:tc>
        <w:tc>
          <w:tcPr>
            <w:tcW w:type="dxa" w:w="4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ISO45001 갱신(유효기간 2029-03-27) 반영</w:t>
            </w:r>
          </w:p>
        </w:tc>
      </w:tr>
    </w:tbl>
    <w:p>
      <w:pPr>
        <w:spacing w:after="60" w:before="100" w:line="30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추가 유의: ’26상 보고서의 등급분포 자체가 개편되었다(SH2 누적 6.5% → 13.2%). 상위 6.5% → 13.2%로 보이는 변화는 당사 순위 하락이 아니라 전체 기업 분포의 상향 이동 영향이 섞여 있으므로, 경영진 보고 시 "순위가 밀렸다"고 해석해서는 안 된다.</w:t>
      </w:r>
    </w:p>
    <w:p>
      <w:pPr>
        <w:pStyle w:val="Heading1"/>
        <w:pBdr>
          <w:bottom w:val="single" w:color="1A1A1A" w:sz="6"/>
        </w:pBdr>
        <w:spacing w:after="160" w:before="360"/>
      </w:pPr>
      <w:r>
        <w:rPr>
          <w:rFonts w:ascii="맑은 고딕" w:cs="맑은 고딕" w:eastAsia="맑은 고딕" w:hAnsi="맑은 고딕"/>
          <w:b/>
          <w:bCs/>
          <w:color w:val="DE0000"/>
          <w:sz w:val="24"/>
          <w:szCs w:val="24"/>
        </w:rPr>
        <w:t xml:space="preserve">07  </w:t>
      </w:r>
      <w:r>
        <w:rPr>
          <w:rFonts w:ascii="맑은 고딕" w:cs="맑은 고딕" w:eastAsia="맑은 고딕" w:hAnsi="맑은 고딕"/>
          <w:b/>
          <w:bCs/>
          <w:color w:val="1A1A1A"/>
          <w:sz w:val="26"/>
          <w:szCs w:val="26"/>
        </w:rPr>
        <w:t xml:space="preserve">회차별 주요 개선점 요약</w:t>
      </w:r>
    </w:p>
    <w:p>
      <w:pPr>
        <w:pStyle w:val="Heading2"/>
        <w:spacing w:after="100" w:before="240"/>
      </w:pPr>
      <w:r>
        <w:rPr>
          <w:rFonts w:ascii="맑은 고딕" w:cs="맑은 고딕" w:eastAsia="맑은 고딕" w:hAnsi="맑은 고딕"/>
          <w:b/>
          <w:bCs/>
          <w:color w:val="1A1A1A"/>
          <w:sz w:val="22"/>
          <w:szCs w:val="22"/>
        </w:rPr>
        <w:t xml:space="preserve">■ 2026 상반기 (SH2 · 85.5점)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/>
          <w:bCs/>
          <w:color w:val="DE0000"/>
          <w:sz w:val="19"/>
          <w:szCs w:val="19"/>
        </w:rPr>
        <w:t xml:space="preserve">경영체계 -2.5점 발생 — 감점 사유 이크레더블 확인 필요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/>
          <w:bCs/>
          <w:color w:val="DE0000"/>
          <w:sz w:val="19"/>
          <w:szCs w:val="19"/>
        </w:rPr>
        <w:t xml:space="preserve">포상 가점 소멸 → 2026년도 위험성평가 우수사례 발표대회 등 재응모 필요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본사 안전보건교육 실적 "보통" 3회 연속 — 분기별 1회 이상 강화 시 최대 5점 개선 여지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최근 1년 산재 4건 — 근본원인 분석·관리체계 효과성 재검토 권고(평가기관 의견)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개선 완료: ISO45001 갱신 반영으로 투자 8→9점</w:t>
      </w:r>
    </w:p>
    <w:p>
      <w:pPr>
        <w:pStyle w:val="Heading2"/>
        <w:spacing w:after="100" w:before="240"/>
      </w:pPr>
      <w:r>
        <w:rPr>
          <w:rFonts w:ascii="맑은 고딕" w:cs="맑은 고딕" w:eastAsia="맑은 고딕" w:hAnsi="맑은 고딕"/>
          <w:b/>
          <w:bCs/>
          <w:color w:val="1A1A1A"/>
          <w:sz w:val="22"/>
          <w:szCs w:val="22"/>
        </w:rPr>
        <w:t xml:space="preserve">■ 2025 하반기 (SH2 · 88점 · 역대 최고)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본사 안전보건교육 실적 "보통" — 유일한 운영관리 미취득 항목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최근 1년 산재 2건 — 재발방지 모니터링 강화 권고</w:t>
      </w:r>
    </w:p>
    <w:p>
      <w:pPr>
        <w:pStyle w:val="Heading2"/>
        <w:spacing w:after="100" w:before="240"/>
      </w:pPr>
      <w:r>
        <w:rPr>
          <w:rFonts w:ascii="맑은 고딕" w:cs="맑은 고딕" w:eastAsia="맑은 고딕" w:hAnsi="맑은 고딕"/>
          <w:b/>
          <w:bCs/>
          <w:color w:val="1A1A1A"/>
          <w:sz w:val="22"/>
          <w:szCs w:val="22"/>
        </w:rPr>
        <w:t xml:space="preserve">■ 2025 상반기 (SH2 · 86점 · SH2 첫 진입)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최근 1년 산재 6건 — 사고 근본원인 분석·보완·모니터링 강화 권고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개선 완료: 경영체계 첫 만점(35/35) — 목표 이행수준 정량 측정·평가 체계 인정</w:t>
      </w:r>
    </w:p>
    <w:p>
      <w:pPr>
        <w:pStyle w:val="Heading2"/>
        <w:spacing w:after="100" w:before="240"/>
      </w:pPr>
      <w:r>
        <w:rPr>
          <w:rFonts w:ascii="맑은 고딕" w:cs="맑은 고딕" w:eastAsia="맑은 고딕" w:hAnsi="맑은 고딕"/>
          <w:b/>
          <w:bCs/>
          <w:color w:val="1A1A1A"/>
          <w:sz w:val="22"/>
          <w:szCs w:val="22"/>
        </w:rPr>
        <w:t xml:space="preserve">■ 2024 하반기 (SH3 · 72점)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/>
          <w:bCs/>
          <w:color w:val="DE0000"/>
          <w:sz w:val="19"/>
          <w:szCs w:val="19"/>
        </w:rPr>
        <w:t xml:space="preserve">산재 11건 누적으로 성과 마이너스(-3)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개선 완료: 대표이사 교육 이수 → 안전보건 점검 만점, 위험성평가 우수사례 장려상 가점 +2</w:t>
      </w:r>
    </w:p>
    <w:p>
      <w:pPr>
        <w:pStyle w:val="Heading2"/>
        <w:spacing w:after="100" w:before="240"/>
      </w:pPr>
      <w:r>
        <w:rPr>
          <w:rFonts w:ascii="맑은 고딕" w:cs="맑은 고딕" w:eastAsia="맑은 고딕" w:hAnsi="맑은 고딕"/>
          <w:b/>
          <w:bCs/>
          <w:color w:val="1A1A1A"/>
          <w:sz w:val="22"/>
          <w:szCs w:val="22"/>
        </w:rPr>
        <w:t xml:space="preserve">■ 2024 재평가 (SH3 · 74점 · 대표이사 변경)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/>
          <w:bCs/>
          <w:color w:val="DE0000"/>
          <w:sz w:val="19"/>
          <w:szCs w:val="19"/>
        </w:rPr>
        <w:t xml:space="preserve">신임 대표이사 안전보건교육 미이수 — 리더십 지표는 대표자 개인 귀속, 변경 시 즉시 이수 필요 (교훈)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본사 교육 주기 분기별→반기별 하향으로 운영관리 -3점</w:t>
      </w:r>
    </w:p>
    <w:p>
      <w:pPr>
        <w:pStyle w:val="Heading2"/>
        <w:spacing w:after="100" w:before="240"/>
      </w:pPr>
      <w:r>
        <w:rPr>
          <w:rFonts w:ascii="맑은 고딕" w:cs="맑은 고딕" w:eastAsia="맑은 고딕" w:hAnsi="맑은 고딕"/>
          <w:b/>
          <w:bCs/>
          <w:color w:val="1A1A1A"/>
          <w:sz w:val="22"/>
          <w:szCs w:val="22"/>
        </w:rPr>
        <w:t xml:space="preserve">■ 2024 상반기 (SH3 · 76점 · SH3 첫 진입)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대표이사 외부기관 안전보건교육 미이수 지속, 목표 이행률 파악 미흡</w:t>
      </w:r>
    </w:p>
    <w:p>
      <w:pPr>
        <w:pStyle w:val="Heading2"/>
        <w:spacing w:after="100" w:before="240"/>
      </w:pPr>
      <w:r>
        <w:rPr>
          <w:rFonts w:ascii="맑은 고딕" w:cs="맑은 고딕" w:eastAsia="맑은 고딕" w:hAnsi="맑은 고딕"/>
          <w:b/>
          <w:bCs/>
          <w:color w:val="1A1A1A"/>
          <w:sz w:val="22"/>
          <w:szCs w:val="22"/>
        </w:rPr>
        <w:t xml:space="preserve">■ 2023 하반기 (SH4 · 67점)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산재 10건 — 아차사고 포함 사고사례 교육·자체 안전점검 강화 당부</w:t>
      </w:r>
    </w:p>
    <w:p>
      <w:pPr>
        <w:pStyle w:val="Heading2"/>
        <w:spacing w:after="100" w:before="240"/>
      </w:pPr>
      <w:r>
        <w:rPr>
          <w:rFonts w:ascii="맑은 고딕" w:cs="맑은 고딕" w:eastAsia="맑은 고딕" w:hAnsi="맑은 고딕"/>
          <w:b/>
          <w:bCs/>
          <w:color w:val="1A1A1A"/>
          <w:sz w:val="22"/>
          <w:szCs w:val="22"/>
        </w:rPr>
        <w:t xml:space="preserve">■ 2023 상반기 (SH4 · 58점 · 역대 최저)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/>
          <w:bCs/>
          <w:color w:val="DE0000"/>
          <w:sz w:val="19"/>
          <w:szCs w:val="19"/>
        </w:rPr>
        <w:t xml:space="preserve">안전보건경영 성과평가 미실시로 경영체계 급락(25→18)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비상대책 계획서 미보유, 사업장 점검 미실시, 조직 업무분장 미흡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개선 완료: ISO45001 취득, 안전보건 예산 4.3억 수립 → 투자 0→8점</w:t>
      </w:r>
    </w:p>
    <w:p>
      <w:pPr>
        <w:pStyle w:val="Heading2"/>
        <w:spacing w:after="100" w:before="240"/>
      </w:pPr>
      <w:r>
        <w:rPr>
          <w:rFonts w:ascii="맑은 고딕" w:cs="맑은 고딕" w:eastAsia="맑은 고딕" w:hAnsi="맑은 고딕"/>
          <w:b/>
          <w:bCs/>
          <w:color w:val="1A1A1A"/>
          <w:sz w:val="22"/>
          <w:szCs w:val="22"/>
        </w:rPr>
        <w:t xml:space="preserve">■ 2022 하반기 (SH4 · 60점 · 최초 평가)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/>
          <w:bCs/>
          <w:color w:val="DE0000"/>
          <w:sz w:val="19"/>
          <w:szCs w:val="19"/>
        </w:rPr>
        <w:t xml:space="preserve">안전보건경영시스템 미보유 + 예산 미수립 → 투자 0점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안전관리감독자 KPI 미수립, 대표이사 현장점검 확인자료 미비</w:t>
      </w:r>
    </w:p>
    <w:p>
      <w:r>
        <w:br w:type="page"/>
      </w:r>
    </w:p>
    <w:p>
      <w:pPr>
        <w:pStyle w:val="Heading1"/>
        <w:pBdr>
          <w:bottom w:val="single" w:color="1A1A1A" w:sz="6"/>
        </w:pBdr>
        <w:spacing w:after="160" w:before="360"/>
      </w:pPr>
      <w:r>
        <w:rPr>
          <w:rFonts w:ascii="맑은 고딕" w:cs="맑은 고딕" w:eastAsia="맑은 고딕" w:hAnsi="맑은 고딕"/>
          <w:b/>
          <w:bCs/>
          <w:color w:val="DE0000"/>
          <w:sz w:val="24"/>
          <w:szCs w:val="24"/>
        </w:rPr>
        <w:t xml:space="preserve">08  </w:t>
      </w:r>
      <w:r>
        <w:rPr>
          <w:rFonts w:ascii="맑은 고딕" w:cs="맑은 고딕" w:eastAsia="맑은 고딕" w:hAnsi="맑은 고딕"/>
          <w:b/>
          <w:bCs/>
          <w:color w:val="1A1A1A"/>
          <w:sz w:val="26"/>
          <w:szCs w:val="26"/>
        </w:rPr>
        <w:t xml:space="preserve">공통·구조적 개선과제 (차기 평가 대비)</w:t>
      </w:r>
    </w:p>
    <w:tbl>
      <w:tblPr>
        <w:tblW w:type="dxa" w:w="10000"/>
        <w:tblBorders>
          <w:top w:val="single" w:color="D9D9DC" w:sz="4"/>
          <w:left w:val="single" w:color="D9D9DC" w:sz="4"/>
          <w:bottom w:val="single" w:color="D9D9DC" w:sz="4"/>
          <w:right w:val="single" w:color="D9D9DC" w:sz="4"/>
          <w:insideH w:val="single" w:color="D9D9DC" w:sz="4"/>
          <w:insideV w:val="single" w:color="D9D9DC" w:sz="4"/>
        </w:tblBorders>
      </w:tblPr>
      <w:tblGrid>
        <w:gridCol w:w="900"/>
        <w:gridCol w:w="3400"/>
        <w:gridCol w:w="2600"/>
        <w:gridCol w:w="1300"/>
        <w:gridCol w:w="1800"/>
      </w:tblGrid>
      <w:tr>
        <w:tc>
          <w:tcPr>
            <w:tcW w:type="dxa" w:w="9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우선순위</w:t>
            </w:r>
          </w:p>
        </w:tc>
        <w:tc>
          <w:tcPr>
            <w:tcW w:type="dxa" w:w="34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과제</w:t>
            </w:r>
          </w:p>
        </w:tc>
        <w:tc>
          <w:tcPr>
            <w:tcW w:type="dxa" w:w="26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근거 (반복 지적 이력)</w:t>
            </w:r>
          </w:p>
        </w:tc>
        <w:tc>
          <w:tcPr>
            <w:tcW w:type="dxa" w:w="13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기대효과</w:t>
            </w:r>
          </w:p>
        </w:tc>
        <w:tc>
          <w:tcPr>
            <w:tcW w:type="dxa" w:w="1800"/>
            <w:shd w:fill="F5F5F5" w:val="clear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담당/기한</w:t>
            </w:r>
          </w:p>
        </w:tc>
      </w:tr>
      <w:tr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1</w:t>
            </w:r>
          </w:p>
        </w:tc>
        <w:tc>
          <w:tcPr>
            <w:tcW w:type="dxa" w:w="3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본사 안전보건교육 분기별 1회 이상 + 실적 증빙 체계화</w:t>
            </w:r>
          </w:p>
        </w:tc>
        <w:tc>
          <w:tcPr>
            <w:tcW w:type="dxa" w:w="2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’24재~’26상 4회 연속 "보통"</w:t>
            </w:r>
          </w:p>
        </w:tc>
        <w:tc>
          <w:tcPr>
            <w:tcW w:type="dxa" w:w="13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최대 +5점</w:t>
            </w:r>
          </w:p>
        </w:tc>
        <w:tc>
          <w:tcPr>
            <w:tcW w:type="dxa" w:w="1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안전보건팀 / ’26.9월</w:t>
            </w:r>
          </w:p>
        </w:tc>
      </w:tr>
      <w:tr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</w:t>
            </w:r>
          </w:p>
        </w:tc>
        <w:tc>
          <w:tcPr>
            <w:tcW w:type="dxa" w:w="3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경영체계 -2.5점 감점 사유 확인</w:t>
            </w:r>
          </w:p>
        </w:tc>
        <w:tc>
          <w:tcPr>
            <w:tcW w:type="dxa" w:w="2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’26상 세부항목 전부 "양호"인데 감점</w:t>
            </w:r>
          </w:p>
        </w:tc>
        <w:tc>
          <w:tcPr>
            <w:tcW w:type="dxa" w:w="13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+2.5점 (확인 필요)</w:t>
            </w:r>
          </w:p>
        </w:tc>
        <w:tc>
          <w:tcPr>
            <w:tcW w:type="dxa" w:w="1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이크레더블 문의 / 즉시</w:t>
            </w:r>
          </w:p>
        </w:tc>
      </w:tr>
      <w:tr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3</w:t>
            </w:r>
          </w:p>
        </w:tc>
        <w:tc>
          <w:tcPr>
            <w:tcW w:type="dxa" w:w="3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2026년 안전보건 포상 응모 (위험성평가 우수사례 등)</w:t>
            </w:r>
          </w:p>
        </w:tc>
        <w:tc>
          <w:tcPr>
            <w:tcW w:type="dxa" w:w="2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’26상 가점 소멸 (-1)</w:t>
            </w:r>
          </w:p>
        </w:tc>
        <w:tc>
          <w:tcPr>
            <w:tcW w:type="dxa" w:w="13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+1~2점</w:t>
            </w:r>
          </w:p>
        </w:tc>
        <w:tc>
          <w:tcPr>
            <w:tcW w:type="dxa" w:w="1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안전보건팀 / ’26.8월</w:t>
            </w:r>
          </w:p>
        </w:tc>
      </w:tr>
      <w:tr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4</w:t>
            </w:r>
          </w:p>
        </w:tc>
        <w:tc>
          <w:tcPr>
            <w:tcW w:type="dxa" w:w="3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산재 재발방지대책 이행 점검 (KT부천·KT송도·센터스퀘어)</w:t>
            </w:r>
          </w:p>
        </w:tc>
        <w:tc>
          <w:tcPr>
            <w:tcW w:type="dxa" w:w="2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’23하·’24하·’25상·’26상 평가기관 반복 권고</w:t>
            </w:r>
          </w:p>
        </w:tc>
        <w:tc>
          <w:tcPr>
            <w:tcW w:type="dxa" w:w="13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A1A1A"/>
                <w:sz w:val="18"/>
                <w:szCs w:val="18"/>
              </w:rPr>
              <w:t xml:space="preserve">성과 최대 +6점</w:t>
            </w:r>
          </w:p>
        </w:tc>
        <w:tc>
          <w:tcPr>
            <w:tcW w:type="dxa" w:w="1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안전보건팀 / 상시</w:t>
            </w:r>
          </w:p>
        </w:tc>
      </w:tr>
      <w:tr>
        <w:tc>
          <w:tcPr>
            <w:tcW w:type="dxa" w:w="9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5</w:t>
            </w:r>
          </w:p>
        </w:tc>
        <w:tc>
          <w:tcPr>
            <w:tcW w:type="dxa" w:w="3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대표이사 변경 시 안전보건교육 즉시 이수 프로세스화</w:t>
            </w:r>
          </w:p>
        </w:tc>
        <w:tc>
          <w:tcPr>
            <w:tcW w:type="dxa" w:w="26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’24 재평가 시 -2점 경험</w:t>
            </w:r>
          </w:p>
        </w:tc>
        <w:tc>
          <w:tcPr>
            <w:tcW w:type="dxa" w:w="13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리스크 예방</w:t>
            </w:r>
          </w:p>
        </w:tc>
        <w:tc>
          <w:tcPr>
            <w:tcW w:type="dxa" w:w="1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A1A1A"/>
                <w:sz w:val="18"/>
                <w:szCs w:val="18"/>
              </w:rPr>
              <w:t xml:space="preserve">경영지원실 협조</w:t>
            </w:r>
          </w:p>
        </w:tc>
      </w:tr>
    </w:tbl>
    <w:p>
      <w:pPr>
        <w:spacing w:after="60" w:before="120" w:line="300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위 1~3번 이행 시 산술상 90점 초과 → </w:t>
      </w:r>
      <w:r>
        <w:rPr>
          <w:rFonts w:ascii="맑은 고딕" w:cs="맑은 고딕" w:eastAsia="맑은 고딕" w:hAnsi="맑은 고딕"/>
          <w:b/>
          <w:bCs/>
          <w:color w:val="DE0000"/>
          <w:sz w:val="19"/>
          <w:szCs w:val="19"/>
        </w:rPr>
        <w:t xml:space="preserve">SH1 도전권</w:t>
      </w: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 진입이 가능하다.</w:t>
      </w:r>
    </w:p>
    <w:p>
      <w:pPr>
        <w:pStyle w:val="Heading1"/>
        <w:pBdr>
          <w:bottom w:val="single" w:color="1A1A1A" w:sz="6"/>
        </w:pBdr>
        <w:spacing w:after="160" w:before="360"/>
      </w:pPr>
      <w:r>
        <w:rPr>
          <w:rFonts w:ascii="맑은 고딕" w:cs="맑은 고딕" w:eastAsia="맑은 고딕" w:hAnsi="맑은 고딕"/>
          <w:b/>
          <w:bCs/>
          <w:color w:val="DE0000"/>
          <w:sz w:val="24"/>
          <w:szCs w:val="24"/>
        </w:rPr>
        <w:t xml:space="preserve">09  </w:t>
      </w:r>
      <w:r>
        <w:rPr>
          <w:rFonts w:ascii="맑은 고딕" w:cs="맑은 고딕" w:eastAsia="맑은 고딕" w:hAnsi="맑은 고딕"/>
          <w:b/>
          <w:bCs/>
          <w:color w:val="1A1A1A"/>
          <w:sz w:val="26"/>
          <w:szCs w:val="26"/>
        </w:rPr>
        <w:t xml:space="preserve">유의사항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기대효과 점수는 배점표 기준 산술치이며, 이크레더블 내부 가중치는 비공개이므로 실제 반영폭은 다를 수 있다 (확인 필요).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차기 평가 시기(’26.10월)는 직전 평가일(’25-10-27) 및 반기 주기에 근거한 예상치로, 이크레더블 공식 안내로 확정 필요.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본 보고서의 모든 수치는 이크레더블 발급 SH평가보고서 9개 회차 원문에 근거하며, 발급번호를 회차별 총괄표에 병기하였다.</w:t>
      </w:r>
    </w:p>
    <w:p>
      <w:pPr>
        <w:pStyle w:val="ListParagraph"/>
        <w:numPr>
          <w:ilvl w:val="0"/>
          <w:numId w:val="2"/>
        </w:numPr>
        <w:spacing w:after="30" w:before="30" w:line="290"/>
      </w:pPr>
      <w:r>
        <w:rPr>
          <w:rFonts w:ascii="맑은 고딕" w:cs="맑은 고딕" w:eastAsia="맑은 고딕" w:hAnsi="맑은 고딕"/>
          <w:b w:val="false"/>
          <w:bCs w:val="false"/>
          <w:color w:val="1A1A1A"/>
          <w:sz w:val="19"/>
          <w:szCs w:val="19"/>
        </w:rPr>
        <w:t xml:space="preserve">본 자료는 내부 업무 참고용이며, 원본 보고서의 대외 유출·재배포는 이크레더블 이용약관상 금지된다.</w:t>
      </w:r>
    </w:p>
    <w:p>
      <w:pPr>
        <w:spacing w:after="60" w:before="300" w:line="300"/>
        <w:jc w:val="center"/>
      </w:pPr>
      <w:r>
        <w:rPr>
          <w:rFonts w:ascii="맑은 고딕" w:cs="맑은 고딕" w:eastAsia="맑은 고딕" w:hAnsi="맑은 고딕"/>
          <w:b w:val="false"/>
          <w:bCs w:val="false"/>
          <w:color w:val="6B7280"/>
          <w:sz w:val="20"/>
          <w:szCs w:val="20"/>
        </w:rPr>
        <w:t xml:space="preserve">— 끝 —</w:t>
      </w:r>
    </w:p>
    <w:sectPr>
      <w:pgSz w:w="11906" w:h="16838" w:orient="portrait"/>
      <w:pgMar w:top="1100" w:right="1250" w:bottom="1100" w:left="12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·"/>
      <w:lvlJc w:val="left"/>
      <w:pPr>
        <w:ind w:left="34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c4efacd788a2aa15530bda842f7047bc3ccf605.jpg"/><Relationship Id="rId8" Type="http://schemas.openxmlformats.org/officeDocument/2006/relationships/image" Target="media/052dd06ab5d685ed59e866d6d125177d31b8e951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2026-07-10T02:29:24.496Z</dcterms:created>
  <dcterms:modified xsi:type="dcterms:W3CDTF">2026-07-10T02:29:24.496Z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